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62" w:rsidRPr="00655662" w:rsidRDefault="00655662" w:rsidP="00655662">
      <w:pPr>
        <w:pStyle w:val="menfont"/>
        <w:jc w:val="center"/>
        <w:rPr>
          <w:b/>
        </w:rPr>
      </w:pPr>
      <w:proofErr w:type="spellStart"/>
      <w:r w:rsidRPr="00655662">
        <w:rPr>
          <w:b/>
        </w:rPr>
        <w:t>Правила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прийому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дітей</w:t>
      </w:r>
      <w:proofErr w:type="spellEnd"/>
      <w:r w:rsidRPr="00655662">
        <w:rPr>
          <w:b/>
        </w:rPr>
        <w:t xml:space="preserve"> з </w:t>
      </w:r>
      <w:proofErr w:type="spellStart"/>
      <w:r w:rsidRPr="00655662">
        <w:rPr>
          <w:b/>
        </w:rPr>
        <w:t>України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до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польських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шкіл</w:t>
      </w:r>
      <w:proofErr w:type="spellEnd"/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</w:p>
    <w:p w:rsidR="00655662" w:rsidRPr="00655662" w:rsidRDefault="00655662" w:rsidP="00655662">
      <w:pPr>
        <w:pStyle w:val="menfont"/>
        <w:jc w:val="both"/>
        <w:rPr>
          <w:b/>
        </w:rPr>
      </w:pPr>
      <w:r w:rsidRPr="00655662">
        <w:rPr>
          <w:b/>
        </w:rPr>
        <w:t xml:space="preserve">I. </w:t>
      </w:r>
      <w:proofErr w:type="spellStart"/>
      <w:r w:rsidRPr="00655662">
        <w:rPr>
          <w:b/>
        </w:rPr>
        <w:t>Прийом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дітей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та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молоді</w:t>
      </w:r>
      <w:proofErr w:type="spellEnd"/>
      <w:r w:rsidRPr="00655662">
        <w:rPr>
          <w:b/>
        </w:rPr>
        <w:t xml:space="preserve"> з </w:t>
      </w:r>
      <w:proofErr w:type="spellStart"/>
      <w:r w:rsidRPr="00655662">
        <w:rPr>
          <w:b/>
        </w:rPr>
        <w:t>України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до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шкіл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Польщі</w:t>
      </w:r>
      <w:proofErr w:type="spellEnd"/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Діти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обов’язковому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обов’язковому</w:t>
      </w:r>
      <w:proofErr w:type="spellEnd"/>
      <w:r>
        <w:t xml:space="preserve"> </w:t>
      </w:r>
      <w:proofErr w:type="spellStart"/>
      <w:r>
        <w:t>навчанні</w:t>
      </w:r>
      <w:proofErr w:type="spellEnd"/>
    </w:p>
    <w:p w:rsidR="00655662" w:rsidRDefault="00655662" w:rsidP="00655662">
      <w:pPr>
        <w:pStyle w:val="menfont"/>
        <w:jc w:val="both"/>
      </w:pPr>
      <w:r>
        <w:t xml:space="preserve">(7-18 </w:t>
      </w:r>
      <w:proofErr w:type="spellStart"/>
      <w:r>
        <w:t>років</w:t>
      </w:r>
      <w:proofErr w:type="spellEnd"/>
      <w:r>
        <w:t xml:space="preserve">)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і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догляд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Прийом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сумою</w:t>
      </w:r>
      <w:proofErr w:type="spellEnd"/>
      <w:r>
        <w:t xml:space="preserve"> </w:t>
      </w:r>
      <w:proofErr w:type="spellStart"/>
      <w:r>
        <w:t>закінчених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кордоном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-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початкова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 xml:space="preserve">,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посадою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початкові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середні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є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Батьки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з </w:t>
      </w:r>
      <w:proofErr w:type="spellStart"/>
      <w:r>
        <w:t>вільними</w:t>
      </w:r>
      <w:proofErr w:type="spellEnd"/>
      <w:r>
        <w:t xml:space="preserve"> </w:t>
      </w:r>
      <w:proofErr w:type="spellStart"/>
      <w:r>
        <w:t>місцями</w:t>
      </w:r>
      <w:proofErr w:type="spellEnd"/>
      <w:r>
        <w:t xml:space="preserve"> в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керівного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  <w:r>
        <w:t>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ґміни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повіту</w:t>
      </w:r>
      <w:proofErr w:type="spellEnd"/>
      <w:r>
        <w:t xml:space="preserve">)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є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Клас</w:t>
      </w:r>
      <w:proofErr w:type="spellEnd"/>
      <w:r>
        <w:t xml:space="preserve"> (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)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виданих</w:t>
      </w:r>
      <w:proofErr w:type="spellEnd"/>
      <w:r>
        <w:t xml:space="preserve"> </w:t>
      </w:r>
      <w:proofErr w:type="spellStart"/>
      <w:r>
        <w:t>школою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кордоном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-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кордоном</w:t>
      </w:r>
      <w:proofErr w:type="spellEnd"/>
      <w:r>
        <w:t xml:space="preserve">.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перекладати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присяжним</w:t>
      </w:r>
      <w:proofErr w:type="spellEnd"/>
      <w:r>
        <w:t xml:space="preserve"> </w:t>
      </w:r>
      <w:proofErr w:type="spellStart"/>
      <w:r>
        <w:t>перекладачем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попросити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зарахувати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нижчого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випливає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закінчених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Прийом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приїжджають</w:t>
      </w:r>
      <w:proofErr w:type="spellEnd"/>
      <w:r>
        <w:t xml:space="preserve"> 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 xml:space="preserve">, </w:t>
      </w:r>
      <w:proofErr w:type="spellStart"/>
      <w:r>
        <w:t>регулюється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законодавчому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.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в </w:t>
      </w:r>
      <w:proofErr w:type="spellStart"/>
      <w:r>
        <w:t>Польщі</w:t>
      </w:r>
      <w:proofErr w:type="spellEnd"/>
    </w:p>
    <w:p w:rsidR="00655662" w:rsidRDefault="00655662" w:rsidP="00655662">
      <w:pPr>
        <w:pStyle w:val="menfont"/>
        <w:jc w:val="both"/>
      </w:pPr>
      <w:r>
        <w:t>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довгострокового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Союзу</w:t>
      </w:r>
      <w:proofErr w:type="spellEnd"/>
      <w:r>
        <w:t xml:space="preserve">,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біженця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підтримуюча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Pr="00655662" w:rsidRDefault="00655662" w:rsidP="00655662">
      <w:pPr>
        <w:pStyle w:val="menfont"/>
        <w:jc w:val="both"/>
        <w:rPr>
          <w:b/>
        </w:rPr>
      </w:pPr>
      <w:r w:rsidRPr="00655662">
        <w:rPr>
          <w:b/>
        </w:rPr>
        <w:t xml:space="preserve">II. </w:t>
      </w:r>
      <w:proofErr w:type="spellStart"/>
      <w:r w:rsidRPr="00655662">
        <w:rPr>
          <w:b/>
        </w:rPr>
        <w:t>Підтримка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навчання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студентів</w:t>
      </w:r>
      <w:proofErr w:type="spellEnd"/>
      <w:r w:rsidRPr="00655662">
        <w:rPr>
          <w:b/>
        </w:rPr>
        <w:t xml:space="preserve">, </w:t>
      </w:r>
      <w:proofErr w:type="spellStart"/>
      <w:r w:rsidRPr="00655662">
        <w:rPr>
          <w:b/>
        </w:rPr>
        <w:t>які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приїжджають</w:t>
      </w:r>
      <w:proofErr w:type="spellEnd"/>
      <w:r w:rsidRPr="00655662">
        <w:rPr>
          <w:b/>
        </w:rPr>
        <w:t xml:space="preserve"> з-</w:t>
      </w:r>
      <w:proofErr w:type="spellStart"/>
      <w:r w:rsidRPr="00655662">
        <w:rPr>
          <w:b/>
        </w:rPr>
        <w:t>за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кордону</w:t>
      </w:r>
      <w:proofErr w:type="spellEnd"/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Іноземці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>:</w:t>
      </w:r>
    </w:p>
    <w:p w:rsidR="00655662" w:rsidRDefault="00655662" w:rsidP="00655662">
      <w:pPr>
        <w:pStyle w:val="menfont"/>
        <w:jc w:val="both"/>
      </w:pPr>
      <w:r>
        <w:lastRenderedPageBreak/>
        <w:t xml:space="preserve">1)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уроках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і в </w:t>
      </w:r>
      <w:proofErr w:type="spellStart"/>
      <w:r>
        <w:t>групах</w:t>
      </w:r>
      <w:proofErr w:type="spellEnd"/>
      <w:r>
        <w:t xml:space="preserve"> у </w:t>
      </w:r>
      <w:proofErr w:type="spellStart"/>
      <w:r>
        <w:t>мінімальному</w:t>
      </w:r>
      <w:proofErr w:type="spellEnd"/>
      <w:r>
        <w:t xml:space="preserve"> </w:t>
      </w:r>
      <w:proofErr w:type="spellStart"/>
      <w:r>
        <w:t>обсязі</w:t>
      </w:r>
      <w:proofErr w:type="spellEnd"/>
    </w:p>
    <w:p w:rsidR="00655662" w:rsidRDefault="00655662" w:rsidP="00655662">
      <w:pPr>
        <w:pStyle w:val="menfont"/>
        <w:jc w:val="both"/>
      </w:pPr>
      <w:r>
        <w:t xml:space="preserve">2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невизначений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>;</w:t>
      </w:r>
    </w:p>
    <w:p w:rsidR="00655662" w:rsidRDefault="00655662" w:rsidP="00655662">
      <w:pPr>
        <w:pStyle w:val="menfont"/>
        <w:jc w:val="both"/>
      </w:pPr>
      <w:r>
        <w:t xml:space="preserve">2)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підготовчого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адаптований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потреб</w:t>
      </w:r>
      <w:proofErr w:type="spellEnd"/>
      <w:r>
        <w:t xml:space="preserve"> і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студентів</w:t>
      </w:r>
      <w:proofErr w:type="spellEnd"/>
    </w:p>
    <w:p w:rsidR="00655662" w:rsidRDefault="00655662" w:rsidP="00655662">
      <w:pPr>
        <w:pStyle w:val="menfont"/>
        <w:jc w:val="both"/>
      </w:pPr>
      <w:r>
        <w:t xml:space="preserve">-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мінімальним</w:t>
      </w:r>
      <w:proofErr w:type="spellEnd"/>
      <w:r>
        <w:t xml:space="preserve"> </w:t>
      </w:r>
      <w:proofErr w:type="spellStart"/>
      <w:r>
        <w:t>розміром</w:t>
      </w:r>
      <w:proofErr w:type="spellEnd"/>
    </w:p>
    <w:p w:rsidR="00655662" w:rsidRDefault="00655662" w:rsidP="00655662">
      <w:pPr>
        <w:pStyle w:val="menfont"/>
        <w:jc w:val="both"/>
      </w:pPr>
      <w:proofErr w:type="spellStart"/>
      <w:r>
        <w:t>Від</w:t>
      </w:r>
      <w:proofErr w:type="spellEnd"/>
      <w:r>
        <w:t xml:space="preserve"> 20 </w:t>
      </w:r>
      <w:proofErr w:type="spellStart"/>
      <w:r>
        <w:t>до</w:t>
      </w:r>
      <w:proofErr w:type="spellEnd"/>
      <w:r>
        <w:t xml:space="preserve"> 26 </w:t>
      </w:r>
      <w:proofErr w:type="spellStart"/>
      <w:r>
        <w:t>годин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(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). У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вищезгаданого</w:t>
      </w:r>
      <w:proofErr w:type="spellEnd"/>
      <w:r>
        <w:t xml:space="preserve"> </w:t>
      </w:r>
      <w:proofErr w:type="spellStart"/>
      <w:r>
        <w:t>годин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вивчають</w:t>
      </w:r>
      <w:proofErr w:type="spellEnd"/>
      <w:r>
        <w:t xml:space="preserve"> </w:t>
      </w:r>
      <w:proofErr w:type="spellStart"/>
      <w:r>
        <w:t>польську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у </w:t>
      </w:r>
      <w:proofErr w:type="spellStart"/>
      <w:r>
        <w:t>мірі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потребам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>;</w:t>
      </w:r>
    </w:p>
    <w:p w:rsidR="00655662" w:rsidRDefault="00655662" w:rsidP="00655662">
      <w:pPr>
        <w:pStyle w:val="menfont"/>
        <w:jc w:val="both"/>
      </w:pPr>
      <w:r>
        <w:t xml:space="preserve">3)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помічником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- </w:t>
      </w:r>
      <w:proofErr w:type="spellStart"/>
      <w:r>
        <w:t>найнятої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  <w:proofErr w:type="spellStart"/>
      <w:r>
        <w:t>як</w:t>
      </w:r>
      <w:proofErr w:type="spellEnd"/>
      <w:r>
        <w:t xml:space="preserve">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>;</w:t>
      </w:r>
    </w:p>
    <w:p w:rsidR="00655662" w:rsidRDefault="00655662" w:rsidP="00655662">
      <w:pPr>
        <w:pStyle w:val="menfont"/>
        <w:jc w:val="both"/>
      </w:pPr>
      <w:r>
        <w:t xml:space="preserve">4) </w:t>
      </w:r>
      <w:proofErr w:type="spellStart"/>
      <w:r>
        <w:t>скористатись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</w:t>
      </w:r>
      <w:proofErr w:type="spellStart"/>
      <w:r>
        <w:t>корекційними</w:t>
      </w:r>
      <w:proofErr w:type="spellEnd"/>
      <w:r>
        <w:t xml:space="preserve"> </w:t>
      </w:r>
      <w:proofErr w:type="spellStart"/>
      <w:r>
        <w:t>заняттями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організованими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школою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довше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12 </w:t>
      </w:r>
      <w:proofErr w:type="spellStart"/>
      <w:r>
        <w:t>місяців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дипломатичне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консульське</w:t>
      </w:r>
      <w:proofErr w:type="spellEnd"/>
      <w:r>
        <w:t xml:space="preserve">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культурно-освітні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національності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</w:p>
    <w:p w:rsidR="00655662" w:rsidRDefault="00655662" w:rsidP="00655662">
      <w:pPr>
        <w:pStyle w:val="menfont"/>
        <w:jc w:val="both"/>
      </w:pPr>
      <w:r>
        <w:t xml:space="preserve">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керівного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,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.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Pr="00655662" w:rsidRDefault="00655662" w:rsidP="00655662">
      <w:pPr>
        <w:pStyle w:val="menfont"/>
        <w:jc w:val="both"/>
        <w:rPr>
          <w:b/>
        </w:rPr>
      </w:pPr>
      <w:r w:rsidRPr="00655662">
        <w:rPr>
          <w:b/>
        </w:rPr>
        <w:t xml:space="preserve">III. </w:t>
      </w:r>
      <w:proofErr w:type="spellStart"/>
      <w:r w:rsidRPr="00655662">
        <w:rPr>
          <w:b/>
        </w:rPr>
        <w:t>Психолого-педагогічна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допомога</w:t>
      </w:r>
      <w:proofErr w:type="spellEnd"/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Іноземні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психолого-педагогічну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міграційним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. </w:t>
      </w:r>
      <w:proofErr w:type="spellStart"/>
      <w:r>
        <w:t>Допомога</w:t>
      </w:r>
      <w:proofErr w:type="spellEnd"/>
      <w:r>
        <w:t xml:space="preserve"> є</w:t>
      </w:r>
    </w:p>
    <w:p w:rsidR="00655662" w:rsidRDefault="00655662" w:rsidP="00655662">
      <w:pPr>
        <w:pStyle w:val="menfont"/>
        <w:jc w:val="both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потреб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</w:p>
    <w:p w:rsidR="00655662" w:rsidRDefault="00655662" w:rsidP="00655662">
      <w:pPr>
        <w:pStyle w:val="menfont"/>
        <w:jc w:val="both"/>
      </w:pPr>
      <w:proofErr w:type="spellStart"/>
      <w:r>
        <w:t>та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психофізичних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Психолого-педагогічну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,</w:t>
      </w:r>
    </w:p>
    <w:p w:rsidR="00655662" w:rsidRDefault="00655662" w:rsidP="00655662">
      <w:pPr>
        <w:pStyle w:val="menfont"/>
        <w:jc w:val="both"/>
      </w:pPr>
      <w:r>
        <w:t xml:space="preserve">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, </w:t>
      </w:r>
      <w:proofErr w:type="spellStart"/>
      <w:r>
        <w:t>вихователі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спеціалісти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психолого-педагогічного</w:t>
      </w:r>
      <w:proofErr w:type="spellEnd"/>
      <w:r>
        <w:t xml:space="preserve"> </w:t>
      </w:r>
      <w:proofErr w:type="spellStart"/>
      <w:r>
        <w:t>супроводу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психологи</w:t>
      </w:r>
      <w:proofErr w:type="spellEnd"/>
      <w:r>
        <w:t xml:space="preserve">, </w:t>
      </w:r>
      <w:proofErr w:type="spellStart"/>
      <w:r>
        <w:t>вихователі</w:t>
      </w:r>
      <w:proofErr w:type="spellEnd"/>
      <w:r>
        <w:t xml:space="preserve">, </w:t>
      </w:r>
      <w:proofErr w:type="spellStart"/>
      <w:r>
        <w:t>логопеди</w:t>
      </w:r>
      <w:proofErr w:type="spellEnd"/>
      <w:r>
        <w:t xml:space="preserve">, </w:t>
      </w:r>
      <w:proofErr w:type="spellStart"/>
      <w:r>
        <w:t>профорієнтири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терапевти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proofErr w:type="spellStart"/>
      <w:r>
        <w:t>Психолого-педагогічна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і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батьками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у </w:t>
      </w:r>
      <w:proofErr w:type="spellStart"/>
      <w:r>
        <w:t>співпраці</w:t>
      </w:r>
      <w:proofErr w:type="spellEnd"/>
    </w:p>
    <w:p w:rsidR="00655662" w:rsidRDefault="00655662" w:rsidP="00655662">
      <w:pPr>
        <w:pStyle w:val="menfont"/>
        <w:jc w:val="both"/>
      </w:pPr>
      <w:r>
        <w:t xml:space="preserve">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, у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: </w:t>
      </w:r>
      <w:proofErr w:type="spellStart"/>
      <w:r>
        <w:t>психолого-педагогічними</w:t>
      </w:r>
      <w:proofErr w:type="spellEnd"/>
      <w:r>
        <w:t xml:space="preserve"> </w:t>
      </w:r>
      <w:proofErr w:type="spellStart"/>
      <w:r>
        <w:t>консультаціями</w:t>
      </w:r>
      <w:proofErr w:type="spellEnd"/>
      <w:r>
        <w:t xml:space="preserve">, </w:t>
      </w:r>
      <w:proofErr w:type="spellStart"/>
      <w:r>
        <w:t>центрами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школами</w:t>
      </w:r>
      <w:proofErr w:type="spellEnd"/>
      <w:r>
        <w:t xml:space="preserve">, </w:t>
      </w:r>
      <w:proofErr w:type="spellStart"/>
      <w:r>
        <w:t>громадськими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школою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вищезгаданими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погоджує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  <w:r>
        <w:t xml:space="preserve"> </w:t>
      </w:r>
    </w:p>
    <w:p w:rsidR="00655662" w:rsidRDefault="00655662" w:rsidP="00655662">
      <w:pPr>
        <w:pStyle w:val="menfont"/>
        <w:jc w:val="both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психолого-педагогічна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Pr="00655662" w:rsidRDefault="00655662" w:rsidP="00655662">
      <w:pPr>
        <w:pStyle w:val="menfont"/>
        <w:jc w:val="both"/>
        <w:rPr>
          <w:b/>
        </w:rPr>
      </w:pPr>
      <w:r w:rsidRPr="00655662">
        <w:rPr>
          <w:b/>
        </w:rPr>
        <w:t xml:space="preserve">IV. </w:t>
      </w:r>
      <w:proofErr w:type="spellStart"/>
      <w:r w:rsidRPr="00655662">
        <w:rPr>
          <w:b/>
        </w:rPr>
        <w:t>Фінансування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позакласних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заходів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для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осіб</w:t>
      </w:r>
      <w:proofErr w:type="spellEnd"/>
      <w:r w:rsidRPr="00655662">
        <w:rPr>
          <w:b/>
        </w:rPr>
        <w:t xml:space="preserve">, </w:t>
      </w:r>
      <w:proofErr w:type="spellStart"/>
      <w:r w:rsidRPr="00655662">
        <w:rPr>
          <w:b/>
        </w:rPr>
        <w:t>які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приїжджають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за</w:t>
      </w:r>
      <w:proofErr w:type="spellEnd"/>
      <w:r w:rsidRPr="00655662">
        <w:rPr>
          <w:b/>
        </w:rPr>
        <w:t xml:space="preserve"> </w:t>
      </w:r>
      <w:proofErr w:type="spellStart"/>
      <w:r w:rsidRPr="00655662">
        <w:rPr>
          <w:b/>
        </w:rPr>
        <w:t>кордон</w:t>
      </w:r>
      <w:proofErr w:type="spellEnd"/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школах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підготовчих</w:t>
      </w:r>
      <w:proofErr w:type="spellEnd"/>
      <w:r>
        <w:t xml:space="preserve"> </w:t>
      </w:r>
      <w:proofErr w:type="spellStart"/>
      <w:r>
        <w:t>відділень</w:t>
      </w:r>
      <w:proofErr w:type="spellEnd"/>
      <w:r>
        <w:t xml:space="preserve">, з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школою</w:t>
      </w:r>
      <w:proofErr w:type="spellEnd"/>
      <w:r>
        <w:t xml:space="preserve"> </w:t>
      </w:r>
      <w:proofErr w:type="spellStart"/>
      <w:r>
        <w:t>стягуються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субсидії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. в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>.</w:t>
      </w:r>
    </w:p>
    <w:p w:rsidR="00655662" w:rsidRDefault="00655662" w:rsidP="00655662">
      <w:pPr>
        <w:pStyle w:val="menfont"/>
        <w:jc w:val="both"/>
      </w:pPr>
    </w:p>
    <w:p w:rsidR="00655662" w:rsidRDefault="00655662" w:rsidP="00655662">
      <w:pPr>
        <w:pStyle w:val="menfont"/>
        <w:jc w:val="both"/>
      </w:pPr>
      <w:r>
        <w:t xml:space="preserve">V.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занять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приїжджають</w:t>
      </w:r>
      <w:proofErr w:type="spellEnd"/>
      <w:r>
        <w:t xml:space="preserve"> 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</w:p>
    <w:p w:rsidR="00655662" w:rsidRDefault="00655662" w:rsidP="00655662">
      <w:pPr>
        <w:pStyle w:val="menfont"/>
        <w:jc w:val="both"/>
      </w:pPr>
    </w:p>
    <w:p w:rsidR="00655662" w:rsidRDefault="00655662" w:rsidP="00CE426F">
      <w:pPr>
        <w:pStyle w:val="menfont"/>
        <w:numPr>
          <w:ilvl w:val="0"/>
          <w:numId w:val="7"/>
        </w:numPr>
        <w:jc w:val="both"/>
      </w:pPr>
      <w:proofErr w:type="spellStart"/>
      <w:r>
        <w:t>Центр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регіональні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з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студентами</w:t>
      </w:r>
      <w:proofErr w:type="spellEnd"/>
      <w:r>
        <w:t xml:space="preserve"> з </w:t>
      </w:r>
      <w:proofErr w:type="spellStart"/>
      <w:r>
        <w:t>міграційним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(</w:t>
      </w:r>
      <w:hyperlink r:id="rId7" w:history="1">
        <w:r w:rsidRPr="00BD0116">
          <w:rPr>
            <w:rStyle w:val="Hipercze"/>
          </w:rPr>
          <w:t>https://www.ore.edu.pl/materialy-do-pobrania/</w:t>
        </w:r>
      </w:hyperlink>
      <w:r>
        <w:t>)</w:t>
      </w:r>
    </w:p>
    <w:p w:rsidR="00536304" w:rsidRDefault="00655662" w:rsidP="00655662">
      <w:pPr>
        <w:pStyle w:val="menfont"/>
        <w:numPr>
          <w:ilvl w:val="0"/>
          <w:numId w:val="7"/>
        </w:num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Інтегрованої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(</w:t>
      </w:r>
      <w:hyperlink r:id="rId8" w:history="1">
        <w:r w:rsidRPr="00655662">
          <w:t>https://zpe.gov.pl/</w:t>
        </w:r>
      </w:hyperlink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кордоном</w:t>
      </w:r>
      <w:proofErr w:type="spellEnd"/>
      <w:r>
        <w:t xml:space="preserve"> (</w:t>
      </w:r>
      <w:hyperlink r:id="rId9" w:history="1">
        <w:r w:rsidRPr="00655662">
          <w:t>https://www.orpeg.pl/bezplatne-materialy-dydaktyczne/</w:t>
        </w:r>
      </w:hyperlink>
      <w:r>
        <w:t xml:space="preserve">), </w:t>
      </w:r>
      <w:proofErr w:type="spellStart"/>
      <w:r>
        <w:t>публікуються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студентом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надходить</w:t>
      </w:r>
      <w:proofErr w:type="spellEnd"/>
      <w:r>
        <w:t xml:space="preserve"> </w:t>
      </w:r>
      <w:r>
        <w:t>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r>
        <w:t xml:space="preserve">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536304" w:rsidRPr="00731D28" w:rsidRDefault="00536304" w:rsidP="00536304">
      <w:pPr>
        <w:pStyle w:val="menfont"/>
      </w:pPr>
      <w:bookmarkStart w:id="0" w:name="_GoBack"/>
      <w:bookmarkEnd w:id="0"/>
    </w:p>
    <w:sectPr w:rsidR="00536304" w:rsidRPr="00731D28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1C" w:rsidRDefault="001A671C">
      <w:r>
        <w:separator/>
      </w:r>
    </w:p>
  </w:endnote>
  <w:endnote w:type="continuationSeparator" w:id="0">
    <w:p w:rsidR="001A671C" w:rsidRDefault="001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1C" w:rsidRDefault="001A671C">
      <w:r>
        <w:separator/>
      </w:r>
    </w:p>
  </w:footnote>
  <w:footnote w:type="continuationSeparator" w:id="0">
    <w:p w:rsidR="001A671C" w:rsidRDefault="001A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1A671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C0D"/>
    <w:multiLevelType w:val="hybridMultilevel"/>
    <w:tmpl w:val="A6463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4"/>
    <w:rsid w:val="000A7ECD"/>
    <w:rsid w:val="000E25C0"/>
    <w:rsid w:val="001A671C"/>
    <w:rsid w:val="001F13EF"/>
    <w:rsid w:val="002D4A0A"/>
    <w:rsid w:val="002F375B"/>
    <w:rsid w:val="003B7CD1"/>
    <w:rsid w:val="00536304"/>
    <w:rsid w:val="00655662"/>
    <w:rsid w:val="00787B3B"/>
    <w:rsid w:val="007911FA"/>
    <w:rsid w:val="00A33428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EBF7D-CD1B-4CD8-BACD-CEC2275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</cp:lastModifiedBy>
  <cp:revision>2</cp:revision>
  <dcterms:created xsi:type="dcterms:W3CDTF">2022-03-21T21:06:00Z</dcterms:created>
  <dcterms:modified xsi:type="dcterms:W3CDTF">2022-03-21T21:06:00Z</dcterms:modified>
</cp:coreProperties>
</file>